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204.0" w:type="dxa"/>
        <w:jc w:val="left"/>
        <w:tblInd w:w="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6"/>
        <w:gridCol w:w="6898"/>
        <w:tblGridChange w:id="0">
          <w:tblGrid>
            <w:gridCol w:w="1306"/>
            <w:gridCol w:w="6898"/>
          </w:tblGrid>
        </w:tblGridChange>
      </w:tblGrid>
      <w:tr>
        <w:trPr>
          <w:cantSplit w:val="0"/>
          <w:tblHeader w:val="0"/>
        </w:trPr>
        <w:tc>
          <w:tcPr/>
          <w:p w:rsidR="00000000" w:rsidDel="00000000" w:rsidP="00000000" w:rsidRDefault="00000000" w:rsidRPr="00000000" w14:paraId="00000002">
            <w:pPr>
              <w:jc w:val="left"/>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-196847</wp:posOffset>
                  </wp:positionH>
                  <wp:positionV relativeFrom="paragraph">
                    <wp:posOffset>98425</wp:posOffset>
                  </wp:positionV>
                  <wp:extent cx="1062090" cy="832019"/>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62090" cy="832019"/>
                          </a:xfrm>
                          <a:prstGeom prst="rect"/>
                          <a:ln/>
                        </pic:spPr>
                      </pic:pic>
                    </a:graphicData>
                  </a:graphic>
                </wp:anchor>
              </w:drawing>
            </w:r>
          </w:p>
        </w:tc>
        <w:tc>
          <w:tcPr/>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Module Description/Course Syllabi</w:t>
            </w:r>
          </w:p>
          <w:p w:rsidR="00000000" w:rsidDel="00000000" w:rsidP="00000000" w:rsidRDefault="00000000" w:rsidRPr="00000000" w14:paraId="00000004">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Education Study Programme</w:t>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of  Languages and Arts</w:t>
            </w:r>
          </w:p>
          <w:p w:rsidR="00000000" w:rsidDel="00000000" w:rsidP="00000000" w:rsidRDefault="00000000" w:rsidRPr="00000000" w14:paraId="00000007">
            <w:pPr>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Universitas Negeri Manado</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8">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Course number and name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MB4232417</w:t>
            </w:r>
            <w:r w:rsidDel="00000000" w:rsidR="00000000" w:rsidRPr="00000000">
              <w:rPr>
                <w:rFonts w:ascii="Times New Roman" w:cs="Times New Roman" w:eastAsia="Times New Roman" w:hAnsi="Times New Roman"/>
                <w:sz w:val="24"/>
                <w:szCs w:val="24"/>
                <w:rtl w:val="0"/>
              </w:rPr>
              <w:t xml:space="preserve"> ELT Methods</w:t>
            </w:r>
          </w:p>
        </w:tc>
      </w:tr>
      <w:tr>
        <w:trPr>
          <w:cantSplit w:val="0"/>
          <w:tblHeader w:val="0"/>
        </w:trPr>
        <w:tc>
          <w:tcPr>
            <w:gridSpan w:val="2"/>
          </w:tcPr>
          <w:p w:rsidR="00000000" w:rsidDel="00000000" w:rsidP="00000000" w:rsidRDefault="00000000" w:rsidRPr="00000000" w14:paraId="0000000C">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Credits and contact hours/Number of ECTS credits allocated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blHeader w:val="0"/>
        </w:trPr>
        <w:tc>
          <w:tcPr>
            <w:gridSpan w:val="2"/>
          </w:tcPr>
          <w:p w:rsidR="00000000" w:rsidDel="00000000" w:rsidP="00000000" w:rsidRDefault="00000000" w:rsidRPr="00000000" w14:paraId="00000010">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Instructor’s and course coordinator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Elizabeth Z. Oroh, M.Hum. </w:t>
            </w:r>
          </w:p>
        </w:tc>
      </w:tr>
      <w:tr>
        <w:trPr>
          <w:cantSplit w:val="0"/>
          <w:tblHeader w:val="0"/>
        </w:trPr>
        <w:tc>
          <w:tcPr>
            <w:gridSpan w:val="2"/>
          </w:tcPr>
          <w:p w:rsidR="00000000" w:rsidDel="00000000" w:rsidP="00000000" w:rsidRDefault="00000000" w:rsidRPr="00000000" w14:paraId="00000014">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Text book, title, author, and year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6">
            <w:pPr>
              <w:widowControl w:val="1"/>
              <w:numPr>
                <w:ilvl w:val="0"/>
                <w:numId w:val="1"/>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Nunan, D. (2015). </w:t>
            </w:r>
            <w:r w:rsidDel="00000000" w:rsidR="00000000" w:rsidRPr="00000000">
              <w:rPr>
                <w:rFonts w:ascii="Times New Roman" w:cs="Times New Roman" w:eastAsia="Times New Roman" w:hAnsi="Times New Roman"/>
                <w:i w:val="1"/>
                <w:sz w:val="24"/>
                <w:szCs w:val="24"/>
                <w:rtl w:val="0"/>
              </w:rPr>
              <w:t xml:space="preserve">Teaching English to speakers of other languages: An introduction.</w:t>
            </w:r>
            <w:r w:rsidDel="00000000" w:rsidR="00000000" w:rsidRPr="00000000">
              <w:rPr>
                <w:rFonts w:ascii="Times New Roman" w:cs="Times New Roman" w:eastAsia="Times New Roman" w:hAnsi="Times New Roman"/>
                <w:sz w:val="24"/>
                <w:szCs w:val="24"/>
                <w:rtl w:val="0"/>
              </w:rPr>
              <w:t xml:space="preserve"> New York: Routledge.</w:t>
            </w:r>
          </w:p>
          <w:p w:rsidR="00000000" w:rsidDel="00000000" w:rsidP="00000000" w:rsidRDefault="00000000" w:rsidRPr="00000000" w14:paraId="00000017">
            <w:pPr>
              <w:widowControl w:val="1"/>
              <w:numPr>
                <w:ilvl w:val="0"/>
                <w:numId w:val="1"/>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Oxford, R.L. (2016). </w:t>
            </w:r>
            <w:r w:rsidDel="00000000" w:rsidR="00000000" w:rsidRPr="00000000">
              <w:rPr>
                <w:rFonts w:ascii="Times New Roman" w:cs="Times New Roman" w:eastAsia="Times New Roman" w:hAnsi="Times New Roman"/>
                <w:i w:val="1"/>
                <w:sz w:val="24"/>
                <w:szCs w:val="24"/>
                <w:rtl w:val="0"/>
              </w:rPr>
              <w:t xml:space="preserve">Teaching and Researching Language Learning Strategies</w:t>
            </w:r>
            <w:r w:rsidDel="00000000" w:rsidR="00000000" w:rsidRPr="00000000">
              <w:rPr>
                <w:rFonts w:ascii="Times New Roman" w:cs="Times New Roman" w:eastAsia="Times New Roman" w:hAnsi="Times New Roman"/>
                <w:sz w:val="24"/>
                <w:szCs w:val="24"/>
                <w:rtl w:val="0"/>
              </w:rPr>
              <w:t xml:space="preserve">. New York: Routledge.</w:t>
            </w:r>
          </w:p>
          <w:p w:rsidR="00000000" w:rsidDel="00000000" w:rsidP="00000000" w:rsidRDefault="00000000" w:rsidRPr="00000000" w14:paraId="00000018">
            <w:pPr>
              <w:widowControl w:val="1"/>
              <w:numPr>
                <w:ilvl w:val="0"/>
                <w:numId w:val="1"/>
              </w:numPr>
              <w:spacing w:after="160"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Johnson, A.P. (2017). </w:t>
            </w:r>
            <w:r w:rsidDel="00000000" w:rsidR="00000000" w:rsidRPr="00000000">
              <w:rPr>
                <w:rFonts w:ascii="Times New Roman" w:cs="Times New Roman" w:eastAsia="Times New Roman" w:hAnsi="Times New Roman"/>
                <w:i w:val="1"/>
                <w:sz w:val="24"/>
                <w:szCs w:val="24"/>
                <w:rtl w:val="0"/>
              </w:rPr>
              <w:t xml:space="preserve">Teaching Strategies for All Teachers Enhancing the Most Significant Variable</w:t>
            </w:r>
            <w:r w:rsidDel="00000000" w:rsidR="00000000" w:rsidRPr="00000000">
              <w:rPr>
                <w:rFonts w:ascii="Times New Roman" w:cs="Times New Roman" w:eastAsia="Times New Roman" w:hAnsi="Times New Roman"/>
                <w:sz w:val="24"/>
                <w:szCs w:val="24"/>
                <w:rtl w:val="0"/>
              </w:rPr>
              <w:t xml:space="preserve">. Lanham: Rowman &amp; Littlefield.</w:t>
            </w:r>
          </w:p>
        </w:tc>
      </w:tr>
      <w:tr>
        <w:trPr>
          <w:cantSplit w:val="0"/>
          <w:tblHeader w:val="0"/>
        </w:trPr>
        <w:tc>
          <w:tcPr>
            <w:gridSpan w:val="2"/>
          </w:tcPr>
          <w:p w:rsidR="00000000" w:rsidDel="00000000" w:rsidP="00000000" w:rsidRDefault="00000000" w:rsidRPr="00000000" w14:paraId="0000001A">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Other supplemental materials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C">
            <w:pPr>
              <w:widowControl w:val="1"/>
              <w:numPr>
                <w:ilvl w:val="0"/>
                <w:numId w:val="5"/>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Walker, A., Leary, H., Hmelo-Silver, C.E. and Ertmer, P.A. (2015). </w:t>
            </w:r>
            <w:r w:rsidDel="00000000" w:rsidR="00000000" w:rsidRPr="00000000">
              <w:rPr>
                <w:rFonts w:ascii="Times New Roman" w:cs="Times New Roman" w:eastAsia="Times New Roman" w:hAnsi="Times New Roman"/>
                <w:i w:val="1"/>
                <w:sz w:val="24"/>
                <w:szCs w:val="24"/>
                <w:rtl w:val="0"/>
              </w:rPr>
              <w:t xml:space="preserve">Essential readings in problem-based learning</w:t>
            </w:r>
            <w:r w:rsidDel="00000000" w:rsidR="00000000" w:rsidRPr="00000000">
              <w:rPr>
                <w:rFonts w:ascii="Times New Roman" w:cs="Times New Roman" w:eastAsia="Times New Roman" w:hAnsi="Times New Roman"/>
                <w:sz w:val="24"/>
                <w:szCs w:val="24"/>
                <w:rtl w:val="0"/>
              </w:rPr>
              <w:t xml:space="preserve">. West Lafayette: Purdue University Press.</w:t>
            </w:r>
          </w:p>
          <w:p w:rsidR="00000000" w:rsidDel="00000000" w:rsidP="00000000" w:rsidRDefault="00000000" w:rsidRPr="00000000" w14:paraId="0000001D">
            <w:pPr>
              <w:widowControl w:val="1"/>
              <w:numPr>
                <w:ilvl w:val="0"/>
                <w:numId w:val="5"/>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Larmer, J., Mergendoller, J. and Boss, S. (2015). </w:t>
            </w:r>
            <w:r w:rsidDel="00000000" w:rsidR="00000000" w:rsidRPr="00000000">
              <w:rPr>
                <w:rFonts w:ascii="Times New Roman" w:cs="Times New Roman" w:eastAsia="Times New Roman" w:hAnsi="Times New Roman"/>
                <w:i w:val="1"/>
                <w:sz w:val="24"/>
                <w:szCs w:val="24"/>
                <w:rtl w:val="0"/>
              </w:rPr>
              <w:t xml:space="preserve">Setting the standard for project-based learning</w:t>
            </w:r>
            <w:r w:rsidDel="00000000" w:rsidR="00000000" w:rsidRPr="00000000">
              <w:rPr>
                <w:rFonts w:ascii="Times New Roman" w:cs="Times New Roman" w:eastAsia="Times New Roman" w:hAnsi="Times New Roman"/>
                <w:sz w:val="24"/>
                <w:szCs w:val="24"/>
                <w:rtl w:val="0"/>
              </w:rPr>
              <w:t xml:space="preserve">. Alexandria: ASCD.</w:t>
            </w:r>
          </w:p>
          <w:p w:rsidR="00000000" w:rsidDel="00000000" w:rsidP="00000000" w:rsidRDefault="00000000" w:rsidRPr="00000000" w14:paraId="0000001E">
            <w:pPr>
              <w:widowControl w:val="1"/>
              <w:numPr>
                <w:ilvl w:val="0"/>
                <w:numId w:val="5"/>
              </w:numPr>
              <w:spacing w:after="160"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Troyan, F.J. (2020). </w:t>
            </w:r>
            <w:r w:rsidDel="00000000" w:rsidR="00000000" w:rsidRPr="00000000">
              <w:rPr>
                <w:rFonts w:ascii="Times New Roman" w:cs="Times New Roman" w:eastAsia="Times New Roman" w:hAnsi="Times New Roman"/>
                <w:i w:val="1"/>
                <w:sz w:val="24"/>
                <w:szCs w:val="24"/>
                <w:rtl w:val="0"/>
              </w:rPr>
              <w:t xml:space="preserve">Genre in World Language Education: Contextualized Assessment and Learning</w:t>
            </w:r>
            <w:r w:rsidDel="00000000" w:rsidR="00000000" w:rsidRPr="00000000">
              <w:rPr>
                <w:rFonts w:ascii="Times New Roman" w:cs="Times New Roman" w:eastAsia="Times New Roman" w:hAnsi="Times New Roman"/>
                <w:sz w:val="24"/>
                <w:szCs w:val="24"/>
                <w:rtl w:val="0"/>
              </w:rPr>
              <w:t xml:space="preserve">. London: Taylor &amp; Francis</w:t>
            </w:r>
          </w:p>
        </w:tc>
      </w:tr>
      <w:tr>
        <w:trPr>
          <w:cantSplit w:val="0"/>
          <w:tblHeader w:val="0"/>
        </w:trPr>
        <w:tc>
          <w:tcPr>
            <w:gridSpan w:val="2"/>
          </w:tcPr>
          <w:p w:rsidR="00000000" w:rsidDel="00000000" w:rsidP="00000000" w:rsidRDefault="00000000" w:rsidRPr="00000000" w14:paraId="00000020">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course information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2">
            <w:pPr>
              <w:numPr>
                <w:ilvl w:val="0"/>
                <w:numId w:val="7"/>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description of the content of the course (catalog description)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4">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This course focuses on practical methods of language teaching, specifically the four macro skills of reading, writing, speaking and listening and the rationale behind lesson staging/scaffolding when presenting these skills. Students will be introduced to techniques for teaching vocabulary, pronunciation and form as well as learn how to design effective tasks and practice situations. It looks at strategies to check meaning and correct errors. Students are encouraged to adopt a critical and reflective approach to practice through peer teaching and develop an informed view of teaching and the learners.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6">
            <w:pPr>
              <w:numPr>
                <w:ilvl w:val="0"/>
                <w:numId w:val="7"/>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Prerequisites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8">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MB4232318 Curriculum and Material Development</w:t>
            </w:r>
          </w:p>
          <w:p w:rsidR="00000000" w:rsidDel="00000000" w:rsidP="00000000" w:rsidRDefault="00000000" w:rsidRPr="00000000" w14:paraId="00000029">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MB4232321 Approach to TEFL</w:t>
            </w:r>
          </w:p>
        </w:tc>
      </w:tr>
      <w:tr>
        <w:trPr>
          <w:cantSplit w:val="0"/>
          <w:tblHeader w:val="0"/>
        </w:trPr>
        <w:tc>
          <w:tcPr>
            <w:gridSpan w:val="2"/>
          </w:tcPr>
          <w:p w:rsidR="00000000" w:rsidDel="00000000" w:rsidP="00000000" w:rsidRDefault="00000000" w:rsidRPr="00000000" w14:paraId="0000002B">
            <w:pPr>
              <w:numPr>
                <w:ilvl w:val="0"/>
                <w:numId w:val="7"/>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Indicate whether a required, elective, or selected elective course in the program</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D">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Required</w:t>
            </w:r>
          </w:p>
        </w:tc>
      </w:tr>
      <w:tr>
        <w:trPr>
          <w:cantSplit w:val="0"/>
          <w:tblHeader w:val="0"/>
        </w:trPr>
        <w:tc>
          <w:tcPr>
            <w:gridSpan w:val="2"/>
          </w:tcPr>
          <w:p w:rsidR="00000000" w:rsidDel="00000000" w:rsidP="00000000" w:rsidRDefault="00000000" w:rsidRPr="00000000" w14:paraId="0000002F">
            <w:pPr>
              <w:numPr>
                <w:ilvl w:val="0"/>
                <w:numId w:val="7"/>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Level of course unit (according to EQF: first cycle Bachelor, second cycle Master)</w:t>
            </w:r>
          </w:p>
        </w:tc>
      </w:tr>
      <w:tr>
        <w:trPr>
          <w:cantSplit w:val="0"/>
          <w:tblHeader w:val="0"/>
        </w:trPr>
        <w:tc>
          <w:tcPr>
            <w:gridSpan w:val="2"/>
          </w:tcPr>
          <w:p w:rsidR="00000000" w:rsidDel="00000000" w:rsidP="00000000" w:rsidRDefault="00000000" w:rsidRPr="00000000" w14:paraId="00000031">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cycle Bachelor</w:t>
            </w:r>
          </w:p>
        </w:tc>
      </w:tr>
      <w:tr>
        <w:trPr>
          <w:cantSplit w:val="0"/>
          <w:tblHeader w:val="0"/>
        </w:trPr>
        <w:tc>
          <w:tcPr>
            <w:gridSpan w:val="2"/>
          </w:tcPr>
          <w:p w:rsidR="00000000" w:rsidDel="00000000" w:rsidP="00000000" w:rsidRDefault="00000000" w:rsidRPr="00000000" w14:paraId="00000033">
            <w:pPr>
              <w:numPr>
                <w:ilvl w:val="0"/>
                <w:numId w:val="7"/>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Year of study when the course unit is delivered (if applicable)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Fourth </w:t>
            </w:r>
          </w:p>
        </w:tc>
      </w:tr>
      <w:tr>
        <w:trPr>
          <w:cantSplit w:val="0"/>
          <w:tblHeader w:val="0"/>
        </w:trPr>
        <w:tc>
          <w:tcPr>
            <w:gridSpan w:val="2"/>
          </w:tcPr>
          <w:p w:rsidR="00000000" w:rsidDel="00000000" w:rsidP="00000000" w:rsidRDefault="00000000" w:rsidRPr="00000000" w14:paraId="00000037">
            <w:pPr>
              <w:numPr>
                <w:ilvl w:val="0"/>
                <w:numId w:val="7"/>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Semester/trimester when the course unit is delivered</w:t>
            </w:r>
          </w:p>
        </w:tc>
      </w:tr>
      <w:tr>
        <w:trPr>
          <w:cantSplit w:val="0"/>
          <w:tblHeader w:val="0"/>
        </w:trPr>
        <w:tc>
          <w:tcPr>
            <w:gridSpan w:val="2"/>
          </w:tcPr>
          <w:p w:rsidR="00000000" w:rsidDel="00000000" w:rsidP="00000000" w:rsidRDefault="00000000" w:rsidRPr="00000000" w14:paraId="00000039">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Fourth </w:t>
            </w:r>
          </w:p>
        </w:tc>
      </w:tr>
      <w:tr>
        <w:trPr>
          <w:cantSplit w:val="0"/>
          <w:tblHeader w:val="0"/>
        </w:trPr>
        <w:tc>
          <w:tcPr>
            <w:gridSpan w:val="2"/>
          </w:tcPr>
          <w:p w:rsidR="00000000" w:rsidDel="00000000" w:rsidP="00000000" w:rsidRDefault="00000000" w:rsidRPr="00000000" w14:paraId="0000003B">
            <w:pPr>
              <w:numPr>
                <w:ilvl w:val="0"/>
                <w:numId w:val="7"/>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Mode of delivery (face-to-face, distance learning)</w:t>
            </w:r>
          </w:p>
        </w:tc>
      </w:tr>
      <w:tr>
        <w:trPr>
          <w:cantSplit w:val="0"/>
          <w:tblHeader w:val="0"/>
        </w:trPr>
        <w:tc>
          <w:tcPr>
            <w:gridSpan w:val="2"/>
          </w:tcPr>
          <w:p w:rsidR="00000000" w:rsidDel="00000000" w:rsidP="00000000" w:rsidRDefault="00000000" w:rsidRPr="00000000" w14:paraId="0000003D">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 to face</w:t>
            </w:r>
          </w:p>
        </w:tc>
      </w:tr>
      <w:tr>
        <w:trPr>
          <w:cantSplit w:val="0"/>
          <w:tblHeader w:val="0"/>
        </w:trPr>
        <w:tc>
          <w:tcPr>
            <w:gridSpan w:val="2"/>
          </w:tcPr>
          <w:p w:rsidR="00000000" w:rsidDel="00000000" w:rsidP="00000000" w:rsidRDefault="00000000" w:rsidRPr="00000000" w14:paraId="0000003F">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outcomes of instruction,</w:t>
            </w:r>
            <w:r w:rsidDel="00000000" w:rsidR="00000000" w:rsidRPr="00000000">
              <w:rPr>
                <w:rFonts w:ascii="Times New Roman" w:cs="Times New Roman" w:eastAsia="Times New Roman" w:hAnsi="Times New Roman"/>
                <w:i w:val="1"/>
                <w:sz w:val="24"/>
                <w:szCs w:val="24"/>
                <w:rtl w:val="0"/>
              </w:rPr>
              <w:t xml:space="preserve"> ex. The student will be able to explain the significance of current research about a particular topic.</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1">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master the approaches, strategies, methods, and techniques for learning English (SO-2 PI. 2.2)</w:t>
            </w:r>
          </w:p>
          <w:p w:rsidR="00000000" w:rsidDel="00000000" w:rsidP="00000000" w:rsidRDefault="00000000" w:rsidRPr="00000000" w14:paraId="00000042">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construct the steps for planning the English learning process using innovative, effective, creative and interesting learning methods. (SO-2, PI 2.2, SO-4, PI 4.1)</w:t>
            </w:r>
          </w:p>
          <w:p w:rsidR="00000000" w:rsidDel="00000000" w:rsidP="00000000" w:rsidRDefault="00000000" w:rsidRPr="00000000" w14:paraId="00000043">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apply the learning plan models in peer-teaching (SO-2, PI 2.2, SO-4, PI 4.1)</w:t>
            </w:r>
          </w:p>
          <w:p w:rsidR="00000000" w:rsidDel="00000000" w:rsidP="00000000" w:rsidRDefault="00000000" w:rsidRPr="00000000" w14:paraId="00000044">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evaluate the strengths and weaknesses of English teaching methods both conceptually and practically (SO-5, PI 5.1)</w:t>
            </w:r>
          </w:p>
        </w:tc>
      </w:tr>
      <w:tr>
        <w:trPr>
          <w:cantSplit w:val="0"/>
          <w:tblHeader w:val="0"/>
        </w:trPr>
        <w:tc>
          <w:tcPr>
            <w:gridSpan w:val="2"/>
          </w:tcPr>
          <w:p w:rsidR="00000000" w:rsidDel="00000000" w:rsidP="00000000" w:rsidRDefault="00000000" w:rsidRPr="00000000" w14:paraId="00000046">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Explicitly indicate which of the student outcomes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SO-2 Applying the principles of Language and Language Learning</w:t>
            </w:r>
          </w:p>
          <w:p w:rsidR="00000000" w:rsidDel="00000000" w:rsidP="00000000" w:rsidRDefault="00000000" w:rsidRPr="00000000" w14:paraId="00000049">
            <w:pPr>
              <w:numPr>
                <w:ilvl w:val="0"/>
                <w:numId w:val="3"/>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PI 2.2 Applying the concept of learning program development techniques, presentation, management and evaluation of English learning programs</w:t>
            </w: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SO-4 Able to plan, implement, evaluate learning, and make improvements to methods and processes of learning English according to the characteristics of students and the needs of stakeholders.</w:t>
            </w:r>
          </w:p>
          <w:p w:rsidR="00000000" w:rsidDel="00000000" w:rsidP="00000000" w:rsidRDefault="00000000" w:rsidRPr="00000000" w14:paraId="0000004B">
            <w:pPr>
              <w:numPr>
                <w:ilvl w:val="0"/>
                <w:numId w:val="3"/>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PI 4.1. Able to plan English lesson plan </w:t>
            </w:r>
            <w:r w:rsidDel="00000000" w:rsidR="00000000" w:rsidRPr="00000000">
              <w:rPr>
                <w:rtl w:val="0"/>
              </w:rPr>
            </w:r>
          </w:p>
          <w:p w:rsidR="00000000" w:rsidDel="00000000" w:rsidP="00000000" w:rsidRDefault="00000000" w:rsidRPr="00000000" w14:paraId="0000004C">
            <w:pPr>
              <w:numPr>
                <w:ilvl w:val="0"/>
                <w:numId w:val="3"/>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PI 4.2. Able to apply English learning methods in teaching process </w:t>
            </w:r>
            <w:r w:rsidDel="00000000" w:rsidR="00000000" w:rsidRPr="00000000">
              <w:rPr>
                <w:rtl w:val="0"/>
              </w:rPr>
            </w:r>
          </w:p>
          <w:p w:rsidR="00000000" w:rsidDel="00000000" w:rsidP="00000000" w:rsidRDefault="00000000" w:rsidRPr="00000000" w14:paraId="0000004D">
            <w:pPr>
              <w:numPr>
                <w:ilvl w:val="0"/>
                <w:numId w:val="3"/>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PI 4.3. Able to evaluate learning process and make improvements when needed </w:t>
            </w: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SO-5 Able to analyze logical, critical, systematic, and innovative thinking in the context of language learning.</w:t>
            </w:r>
          </w:p>
          <w:p w:rsidR="00000000" w:rsidDel="00000000" w:rsidP="00000000" w:rsidRDefault="00000000" w:rsidRPr="00000000" w14:paraId="0000004F">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PI 5.1. Able to </w:t>
            </w:r>
            <w:r w:rsidDel="00000000" w:rsidR="00000000" w:rsidRPr="00000000">
              <w:rPr>
                <w:rFonts w:ascii="Times New Roman" w:cs="Times New Roman" w:eastAsia="Times New Roman" w:hAnsi="Times New Roman"/>
                <w:sz w:val="24"/>
                <w:szCs w:val="24"/>
                <w:rtl w:val="0"/>
              </w:rPr>
              <w:t xml:space="preserve">analyze</w:t>
            </w:r>
            <w:r w:rsidDel="00000000" w:rsidR="00000000" w:rsidRPr="00000000">
              <w:rPr>
                <w:rFonts w:ascii="Times New Roman" w:cs="Times New Roman" w:eastAsia="Times New Roman" w:hAnsi="Times New Roman"/>
                <w:color w:val="000000"/>
                <w:sz w:val="24"/>
                <w:szCs w:val="24"/>
                <w:rtl w:val="0"/>
              </w:rPr>
              <w:t xml:space="preserve"> the problems that exist in English learning.</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1">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list of topics to be covered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3">
            <w:pPr>
              <w:widowControl w:val="1"/>
              <w:numPr>
                <w:ilvl w:val="0"/>
                <w:numId w:val="6"/>
              </w:numPr>
              <w:spacing w:after="16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concept of research in English language teaching</w:t>
            </w:r>
          </w:p>
          <w:p w:rsidR="00000000" w:rsidDel="00000000" w:rsidP="00000000" w:rsidRDefault="00000000" w:rsidRPr="00000000" w14:paraId="00000054">
            <w:pPr>
              <w:widowControl w:val="1"/>
              <w:numPr>
                <w:ilvl w:val="0"/>
                <w:numId w:val="6"/>
              </w:numPr>
              <w:spacing w:after="16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areas commonly investigated in English language classroom</w:t>
            </w:r>
          </w:p>
          <w:p w:rsidR="00000000" w:rsidDel="00000000" w:rsidP="00000000" w:rsidRDefault="00000000" w:rsidRPr="00000000" w14:paraId="00000055">
            <w:pPr>
              <w:widowControl w:val="1"/>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research approaches</w:t>
            </w:r>
          </w:p>
          <w:p w:rsidR="00000000" w:rsidDel="00000000" w:rsidP="00000000" w:rsidRDefault="00000000" w:rsidRPr="00000000" w14:paraId="00000056">
            <w:pPr>
              <w:widowControl w:val="1"/>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starting points to conduct research</w:t>
            </w:r>
          </w:p>
          <w:p w:rsidR="00000000" w:rsidDel="00000000" w:rsidP="00000000" w:rsidRDefault="00000000" w:rsidRPr="00000000" w14:paraId="00000057">
            <w:pPr>
              <w:widowControl w:val="1"/>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research procedure in ELT, both qualitative and quantitative</w:t>
            </w:r>
          </w:p>
          <w:p w:rsidR="00000000" w:rsidDel="00000000" w:rsidP="00000000" w:rsidRDefault="00000000" w:rsidRPr="00000000" w14:paraId="00000058">
            <w:pPr>
              <w:widowControl w:val="1"/>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accuracy in Implementing the ‘research preparation</w:t>
            </w:r>
          </w:p>
          <w:p w:rsidR="00000000" w:rsidDel="00000000" w:rsidP="00000000" w:rsidRDefault="00000000" w:rsidRPr="00000000" w14:paraId="00000059">
            <w:pPr>
              <w:widowControl w:val="1"/>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accuracy in implementing the ‘research implementation’</w:t>
            </w:r>
          </w:p>
          <w:p w:rsidR="00000000" w:rsidDel="00000000" w:rsidP="00000000" w:rsidRDefault="00000000" w:rsidRPr="00000000" w14:paraId="0000005A">
            <w:pPr>
              <w:widowControl w:val="1"/>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accuracy in conceptualizing the ‘research completion’</w:t>
            </w:r>
          </w:p>
          <w:p w:rsidR="00000000" w:rsidDel="00000000" w:rsidP="00000000" w:rsidRDefault="00000000" w:rsidRPr="00000000" w14:paraId="0000005B">
            <w:pPr>
              <w:widowControl w:val="1"/>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accuracy in specifying the topics in ELT for research proposal</w:t>
            </w:r>
          </w:p>
          <w:p w:rsidR="00000000" w:rsidDel="00000000" w:rsidP="00000000" w:rsidRDefault="00000000" w:rsidRPr="00000000" w14:paraId="0000005C">
            <w:pPr>
              <w:widowControl w:val="1"/>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accuracy in constructing the research proposal</w:t>
            </w:r>
          </w:p>
        </w:tc>
      </w:tr>
      <w:tr>
        <w:trPr>
          <w:cantSplit w:val="0"/>
          <w:tblHeader w:val="0"/>
        </w:trPr>
        <w:tc>
          <w:tcPr>
            <w:gridSpan w:val="2"/>
          </w:tcPr>
          <w:p w:rsidR="00000000" w:rsidDel="00000000" w:rsidP="00000000" w:rsidRDefault="00000000" w:rsidRPr="00000000" w14:paraId="0000005E">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Recommended or required reading and other learning resources/tools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60">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Planned learning activities and teaching methods</w:t>
            </w:r>
          </w:p>
        </w:tc>
      </w:tr>
      <w:tr>
        <w:trPr>
          <w:cantSplit w:val="0"/>
          <w:tblHeader w:val="0"/>
        </w:trPr>
        <w:tc>
          <w:tcPr>
            <w:gridSpan w:val="2"/>
          </w:tcPr>
          <w:p w:rsidR="00000000" w:rsidDel="00000000" w:rsidP="00000000" w:rsidRDefault="00000000" w:rsidRPr="00000000" w14:paraId="0000006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group discussion, PjBL, Case based Method</w:t>
            </w:r>
          </w:p>
        </w:tc>
      </w:tr>
      <w:tr>
        <w:trPr>
          <w:cantSplit w:val="0"/>
          <w:tblHeader w:val="0"/>
        </w:trPr>
        <w:tc>
          <w:tcPr>
            <w:gridSpan w:val="2"/>
          </w:tcPr>
          <w:p w:rsidR="00000000" w:rsidDel="00000000" w:rsidP="00000000" w:rsidRDefault="00000000" w:rsidRPr="00000000" w14:paraId="00000064">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Language of instruction</w:t>
            </w:r>
          </w:p>
        </w:tc>
      </w:tr>
      <w:tr>
        <w:trPr>
          <w:cantSplit w:val="0"/>
          <w:tblHeader w:val="0"/>
        </w:trPr>
        <w:tc>
          <w:tcPr>
            <w:gridSpan w:val="2"/>
          </w:tcPr>
          <w:p w:rsidR="00000000" w:rsidDel="00000000" w:rsidP="00000000" w:rsidRDefault="00000000" w:rsidRPr="00000000" w14:paraId="0000006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w:t>
            </w:r>
          </w:p>
        </w:tc>
      </w:tr>
      <w:tr>
        <w:trPr>
          <w:cantSplit w:val="0"/>
          <w:tblHeader w:val="0"/>
        </w:trPr>
        <w:tc>
          <w:tcPr>
            <w:gridSpan w:val="2"/>
          </w:tcPr>
          <w:p w:rsidR="00000000" w:rsidDel="00000000" w:rsidP="00000000" w:rsidRDefault="00000000" w:rsidRPr="00000000" w14:paraId="00000068">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Assessment methods and criteria</w:t>
            </w:r>
          </w:p>
        </w:tc>
      </w:tr>
      <w:tr>
        <w:trPr>
          <w:cantSplit w:val="0"/>
          <w:tblHeader w:val="0"/>
        </w:trPr>
        <w:tc>
          <w:tcPr>
            <w:gridSpan w:val="2"/>
          </w:tcPr>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Performance Assessment:</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Participation and activities in the learning process (attendance, lectures and practices) 30%</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Completion of tasks 30%</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Mid Term 20%</w:t>
            </w:r>
          </w:p>
          <w:p w:rsidR="00000000" w:rsidDel="00000000" w:rsidP="00000000" w:rsidRDefault="00000000" w:rsidRPr="00000000" w14:paraId="0000006E">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4.</w:t>
              <w:tab/>
              <w:t xml:space="preserve">Final Term 20%</w:t>
            </w:r>
            <w:r w:rsidDel="00000000" w:rsidR="00000000" w:rsidRPr="00000000">
              <w:rPr>
                <w:rtl w:val="0"/>
              </w:rPr>
            </w:r>
          </w:p>
        </w:tc>
      </w:tr>
    </w:tbl>
    <w:p w:rsidR="00000000" w:rsidDel="00000000" w:rsidP="00000000" w:rsidRDefault="00000000" w:rsidRPr="00000000" w14:paraId="00000070">
      <w:pPr>
        <w:jc w:val="center"/>
        <w:rPr>
          <w:rFonts w:ascii="Times New Roman" w:cs="Times New Roman" w:eastAsia="Times New Roman" w:hAnsi="Times New Roman"/>
          <w:b w:val="1"/>
          <w:sz w:val="28"/>
          <w:szCs w:val="28"/>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0" w:firstLine="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0" w:firstLine="0"/>
      </w:pPr>
      <w:rPr>
        <w:b w:val="1"/>
        <w:i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heme="minorHAnsi" w:cstheme="minorBidi" w:eastAsiaTheme="minorEastAsia" w:hAnsiTheme="minorHAnsi"/>
      <w:lang w:eastAsia="zh-CN"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qFormat w:val="1"/>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FB7EBB"/>
    <w:pPr>
      <w:ind w:left="720"/>
      <w:contextualSpacing w:val="1"/>
    </w:pPr>
    <w:rPr>
      <w:rFonts w:eastAsiaTheme="minorHAnsi"/>
      <w:sz w:val="24"/>
      <w:szCs w:val="24"/>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WaMvunpdYH/FPdVbo0OapolUiw==">CgMxLjA4AHIhMVJZajAtSjl2NmY1SEVpd1prR3Z2XzMzOHY5NU83WW55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2022-09-08T06:52:00Z</dcterms:created>
  <dc:creator>HP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5641024F96F24BB4B8C659C0C0378EA8</vt:lpwstr>
  </property>
  <property fmtid="{D5CDD505-2E9C-101B-9397-08002B2CF9AE}" pid="4" name="KSOProductBuildVer">
    <vt:lpwstr>1033-11.2.0.10265</vt:lpwstr>
  </property>
  <property fmtid="{D5CDD505-2E9C-101B-9397-08002B2CF9AE}" pid="5" name="ICV">
    <vt:lpwstr>5641024F96F24BB4B8C659C0C0378EA8</vt:lpwstr>
  </property>
</Properties>
</file>